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重庆城市职业学院</w:t>
      </w:r>
    </w:p>
    <w:p>
      <w:pPr>
        <w:jc w:val="center"/>
        <w:rPr>
          <w:rFonts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科研与社会创新服务“十四五”发展规划</w:t>
      </w:r>
    </w:p>
    <w:p>
      <w:pPr>
        <w:spacing w:line="360" w:lineRule="auto"/>
        <w:ind w:firstLine="640" w:firstLineChars="200"/>
        <w:rPr>
          <w:rFonts w:ascii="方正仿宋_GBK" w:hAnsi="方正仿宋_GBK" w:eastAsia="方正仿宋_GBK" w:cs="方正仿宋_GBK"/>
          <w:sz w:val="32"/>
          <w:szCs w:val="32"/>
        </w:rPr>
      </w:pP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“十四五”时期是学校高质量发展的关键期，科研与社会创新服务对提升学校内涵建设具有举足轻重的作用。为贯彻落实《成渝地区双城经济圈建设规</w:t>
      </w:r>
      <w:bookmarkStart w:id="0" w:name="_GoBack"/>
      <w:bookmarkEnd w:id="0"/>
      <w:r>
        <w:rPr>
          <w:rFonts w:hint="eastAsia" w:ascii="方正仿宋_GBK" w:hAnsi="方正仿宋_GBK" w:eastAsia="方正仿宋_GBK" w:cs="方正仿宋_GBK"/>
          <w:sz w:val="32"/>
          <w:szCs w:val="32"/>
        </w:rPr>
        <w:t>划纲要》和国家职业教育相关政策精神，积极主动服务西部科学城（重庆）建设战略，根据《中华人民共和国科学技术进步法》《重庆市国民经济和社会发展第十四个五年规划和二○三五年远景目标纲要》《重庆市科技创新“十四五”规划》，结合学校“十四五”规划总目标和发展思路，制定本规划。</w:t>
      </w:r>
    </w:p>
    <w:p>
      <w:pPr>
        <w:spacing w:line="360" w:lineRule="auto"/>
        <w:ind w:firstLine="640" w:firstLineChars="200"/>
        <w:rPr>
          <w:rFonts w:ascii="黑体" w:hAnsi="黑体" w:eastAsia="黑体" w:cs="黑体"/>
          <w:sz w:val="32"/>
          <w:szCs w:val="32"/>
        </w:rPr>
      </w:pPr>
      <w:r>
        <w:rPr>
          <w:rFonts w:hint="eastAsia" w:ascii="黑体" w:hAnsi="黑体" w:eastAsia="黑体" w:cs="黑体"/>
          <w:sz w:val="32"/>
          <w:szCs w:val="32"/>
        </w:rPr>
        <w:t>一、基础与背景</w:t>
      </w:r>
    </w:p>
    <w:p>
      <w:pPr>
        <w:spacing w:line="360" w:lineRule="auto"/>
        <w:ind w:firstLine="643" w:firstLineChars="200"/>
        <w:rPr>
          <w:rFonts w:ascii="方正楷体_GBK" w:hAnsi="方正楷体_GBK" w:eastAsia="方正楷体_GBK" w:cs="方正楷体_GBK"/>
          <w:b/>
          <w:bCs/>
          <w:sz w:val="32"/>
          <w:szCs w:val="32"/>
          <w:lang w:val="zh-CN"/>
        </w:rPr>
      </w:pPr>
      <w:r>
        <w:rPr>
          <w:rFonts w:hint="eastAsia" w:ascii="方正楷体_GBK" w:hAnsi="方正楷体_GBK" w:eastAsia="方正楷体_GBK" w:cs="方正楷体_GBK"/>
          <w:b/>
          <w:bCs/>
          <w:sz w:val="32"/>
          <w:szCs w:val="32"/>
          <w:lang w:val="zh-CN"/>
        </w:rPr>
        <w:t>（</w:t>
      </w:r>
      <w:r>
        <w:rPr>
          <w:rFonts w:hint="eastAsia" w:ascii="方正楷体_GBK" w:hAnsi="方正楷体_GBK" w:eastAsia="方正楷体_GBK" w:cs="方正楷体_GBK"/>
          <w:b/>
          <w:bCs/>
          <w:sz w:val="32"/>
          <w:szCs w:val="32"/>
        </w:rPr>
        <w:t>一）发展成效</w:t>
      </w:r>
    </w:p>
    <w:p>
      <w:pPr>
        <w:spacing w:line="360" w:lineRule="auto"/>
        <w:ind w:firstLine="643"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1.科研成果量与质齐升。</w:t>
      </w:r>
      <w:r>
        <w:rPr>
          <w:rFonts w:hint="eastAsia" w:ascii="方正仿宋_GBK" w:hAnsi="方正仿宋_GBK" w:eastAsia="方正仿宋_GBK" w:cs="方正仿宋_GBK"/>
          <w:sz w:val="32"/>
          <w:szCs w:val="32"/>
          <w:lang w:val="zh-CN"/>
        </w:rPr>
        <w:t>“</w:t>
      </w:r>
      <w:r>
        <w:rPr>
          <w:rFonts w:hint="eastAsia" w:ascii="方正仿宋_GBK" w:hAnsi="方正仿宋_GBK" w:eastAsia="方正仿宋_GBK" w:cs="方正仿宋_GBK"/>
          <w:sz w:val="32"/>
          <w:szCs w:val="32"/>
        </w:rPr>
        <w:t>十三五”时期，学校科研成果在质与量方面获得显著增长。截至2020年底，学校已发表论文共计303篇，实用</w:t>
      </w:r>
      <w:r>
        <w:rPr>
          <w:rFonts w:hint="eastAsia" w:ascii="方正仿宋_GBK" w:hAnsi="方正仿宋_GBK" w:eastAsia="方正仿宋_GBK" w:cs="方正仿宋_GBK"/>
          <w:sz w:val="32"/>
          <w:szCs w:val="32"/>
        </w:rPr>
        <w:t>新型专利53项，出版专著、教材20余部。被省部级部门采纳或批示的咨询报告2个。立项市级课题49</w:t>
      </w:r>
      <w:r>
        <w:rPr>
          <w:rFonts w:hint="eastAsia" w:ascii="方正仿宋_GBK" w:hAnsi="方正仿宋_GBK" w:eastAsia="方正仿宋_GBK" w:cs="方正仿宋_GBK"/>
          <w:sz w:val="32"/>
          <w:szCs w:val="32"/>
        </w:rPr>
        <w:t>项，横向课题到账金额83.7</w:t>
      </w:r>
      <w:r>
        <w:rPr>
          <w:rFonts w:hint="eastAsia" w:ascii="方正仿宋_GBK" w:hAnsi="方正仿宋_GBK" w:eastAsia="方正仿宋_GBK" w:cs="方正仿宋_GBK"/>
          <w:sz w:val="32"/>
          <w:szCs w:val="32"/>
        </w:rPr>
        <w:t>万余元。</w:t>
      </w:r>
      <w:r>
        <w:rPr>
          <w:rFonts w:hint="eastAsia" w:ascii="方正仿宋_GBK" w:hAnsi="方正仿宋_GBK" w:eastAsia="方正仿宋_GBK" w:cs="方正仿宋_GBK"/>
          <w:sz w:val="32"/>
          <w:szCs w:val="32"/>
        </w:rPr>
        <w:tab/>
      </w:r>
    </w:p>
    <w:p>
      <w:pPr>
        <w:spacing w:line="360" w:lineRule="auto"/>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w:t>
      </w:r>
      <w:r>
        <w:rPr>
          <w:rFonts w:hint="eastAsia" w:ascii="方正仿宋_GBK" w:hAnsi="方正仿宋_GBK" w:eastAsia="方正仿宋_GBK" w:cs="方正仿宋_GBK"/>
          <w:b/>
          <w:bCs/>
          <w:sz w:val="32"/>
          <w:szCs w:val="32"/>
          <w:lang w:val="zh-CN"/>
        </w:rPr>
        <w:t>科研</w:t>
      </w:r>
      <w:r>
        <w:rPr>
          <w:rFonts w:hint="eastAsia" w:ascii="方正仿宋_GBK" w:hAnsi="方正仿宋_GBK" w:eastAsia="方正仿宋_GBK" w:cs="方正仿宋_GBK"/>
          <w:b/>
          <w:bCs/>
          <w:sz w:val="32"/>
          <w:szCs w:val="32"/>
        </w:rPr>
        <w:t>投入持续增长。</w:t>
      </w:r>
      <w:r>
        <w:rPr>
          <w:rFonts w:hint="eastAsia" w:ascii="方正仿宋_GBK" w:hAnsi="方正仿宋_GBK" w:eastAsia="方正仿宋_GBK" w:cs="方正仿宋_GBK"/>
          <w:sz w:val="32"/>
          <w:szCs w:val="32"/>
        </w:rPr>
        <w:t>学校大力资助各类科研项目，全额配套科研经费。科研经费在2016年基础上增长13倍，哲学社会科学经费增长150%。其中省部级项目批准经费23.2</w:t>
      </w:r>
      <w:r>
        <w:rPr>
          <w:rFonts w:hint="eastAsia" w:ascii="方正仿宋_GBK" w:hAnsi="方正仿宋_GBK" w:eastAsia="方正仿宋_GBK" w:cs="方正仿宋_GBK"/>
          <w:sz w:val="32"/>
          <w:szCs w:val="32"/>
        </w:rPr>
        <w:t>万元，配套经费113.4</w:t>
      </w:r>
      <w:r>
        <w:rPr>
          <w:rFonts w:hint="eastAsia" w:ascii="方正仿宋_GBK" w:hAnsi="方正仿宋_GBK" w:eastAsia="方正仿宋_GBK" w:cs="方正仿宋_GBK"/>
          <w:sz w:val="32"/>
          <w:szCs w:val="32"/>
        </w:rPr>
        <w:t>万元。</w:t>
      </w:r>
    </w:p>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3.</w:t>
      </w:r>
      <w:r>
        <w:rPr>
          <w:rFonts w:hint="eastAsia" w:ascii="方正仿宋_GBK" w:hAnsi="方正仿宋_GBK" w:eastAsia="方正仿宋_GBK" w:cs="方正仿宋_GBK"/>
          <w:b/>
          <w:bCs/>
          <w:sz w:val="32"/>
          <w:szCs w:val="32"/>
          <w:lang w:val="zh-CN"/>
        </w:rPr>
        <w:t>科研</w:t>
      </w:r>
      <w:r>
        <w:rPr>
          <w:rFonts w:hint="eastAsia" w:ascii="方正仿宋_GBK" w:hAnsi="方正仿宋_GBK" w:eastAsia="方正仿宋_GBK" w:cs="方正仿宋_GBK"/>
          <w:b/>
          <w:bCs/>
          <w:sz w:val="32"/>
          <w:szCs w:val="32"/>
        </w:rPr>
        <w:t>力量日益壮大。</w:t>
      </w:r>
      <w:r>
        <w:rPr>
          <w:rFonts w:hint="eastAsia" w:ascii="方正仿宋_GBK" w:hAnsi="方正仿宋_GBK" w:eastAsia="方正仿宋_GBK" w:cs="方正仿宋_GBK"/>
          <w:sz w:val="32"/>
          <w:szCs w:val="32"/>
        </w:rPr>
        <w:t xml:space="preserve">“十三五”时期，学校着力于壮大提升科研力量，孵化培育科研团队，已形成一支勇于探索、充满活力的科研队伍。建成市级科研平台2个，校级研究所5个、工作室6个，培育孵化科研创新团队3个。  </w:t>
      </w:r>
    </w:p>
    <w:p>
      <w:pPr>
        <w:spacing w:line="360" w:lineRule="auto"/>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4.科技</w:t>
      </w:r>
      <w:r>
        <w:rPr>
          <w:rFonts w:hint="eastAsia" w:ascii="方正仿宋_GBK" w:hAnsi="方正仿宋_GBK" w:eastAsia="方正仿宋_GBK" w:cs="方正仿宋_GBK"/>
          <w:b/>
          <w:bCs/>
          <w:sz w:val="32"/>
          <w:szCs w:val="32"/>
          <w:lang w:val="zh-CN"/>
        </w:rPr>
        <w:t>服务</w:t>
      </w:r>
      <w:r>
        <w:rPr>
          <w:rFonts w:hint="eastAsia" w:ascii="方正仿宋_GBK" w:hAnsi="方正仿宋_GBK" w:eastAsia="方正仿宋_GBK" w:cs="方正仿宋_GBK"/>
          <w:b/>
          <w:bCs/>
          <w:sz w:val="32"/>
          <w:szCs w:val="32"/>
        </w:rPr>
        <w:t>成效初显。</w:t>
      </w:r>
      <w:r>
        <w:rPr>
          <w:rFonts w:hint="eastAsia" w:ascii="方正仿宋_GBK" w:hAnsi="方正仿宋_GBK" w:eastAsia="方正仿宋_GBK" w:cs="方正仿宋_GBK"/>
          <w:sz w:val="32"/>
          <w:szCs w:val="32"/>
        </w:rPr>
        <w:t>学校以科研创新为抓手、以服务发展为动力、以反哺社会为使命，通过融入乡村振兴战略，承接农村扶贫项目、参与农民工培训、服务农村文化建设，在哲学社会科学领域承担乡村旅游研发项目1项，农村电商发展研究项目1项，承接农村教育扶贫项目2项，承担农民工电商、营销、导游等培训项目3项。</w:t>
      </w:r>
    </w:p>
    <w:p>
      <w:pPr>
        <w:spacing w:line="360" w:lineRule="auto"/>
        <w:ind w:firstLine="643" w:firstLineChars="200"/>
        <w:rPr>
          <w:rFonts w:ascii="方正仿宋_GBK" w:hAnsi="方正仿宋_GBK" w:eastAsia="方正仿宋_GBK" w:cs="方正仿宋_GBK"/>
          <w:b/>
          <w:bCs/>
          <w:sz w:val="32"/>
          <w:szCs w:val="32"/>
        </w:rPr>
      </w:pPr>
      <w:r>
        <w:rPr>
          <w:rFonts w:hint="eastAsia" w:ascii="方正楷体_GBK" w:hAnsi="方正楷体_GBK" w:eastAsia="方正楷体_GBK" w:cs="方正楷体_GBK"/>
          <w:b/>
          <w:bCs/>
          <w:sz w:val="32"/>
          <w:szCs w:val="32"/>
        </w:rPr>
        <w:t>（二）主要短板</w:t>
      </w:r>
    </w:p>
    <w:p>
      <w:pPr>
        <w:spacing w:line="360" w:lineRule="auto"/>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1.科研成果质量急需提升。</w:t>
      </w:r>
      <w:r>
        <w:rPr>
          <w:rFonts w:hint="eastAsia" w:ascii="方正仿宋_GBK" w:hAnsi="方正仿宋_GBK" w:eastAsia="方正仿宋_GBK" w:cs="方正仿宋_GBK"/>
          <w:sz w:val="32"/>
          <w:szCs w:val="32"/>
        </w:rPr>
        <w:t>目前学校省部级科研项目普遍偏少，缺乏国家级科研项目，高水平科研成果占比低；科技发明</w:t>
      </w:r>
      <w:r>
        <w:rPr>
          <w:rFonts w:hint="eastAsia" w:ascii="方正仿宋_GBK" w:hAnsi="方正仿宋_GBK" w:eastAsia="方正仿宋_GBK" w:cs="方正仿宋_GBK"/>
          <w:sz w:val="32"/>
          <w:szCs w:val="32"/>
          <w:lang w:val="en-US" w:eastAsia="zh-CN"/>
        </w:rPr>
        <w:t>申请和授权</w:t>
      </w:r>
      <w:r>
        <w:rPr>
          <w:rFonts w:hint="eastAsia" w:ascii="方正仿宋_GBK" w:hAnsi="方正仿宋_GBK" w:eastAsia="方正仿宋_GBK" w:cs="方正仿宋_GBK"/>
          <w:sz w:val="32"/>
          <w:szCs w:val="32"/>
        </w:rPr>
        <w:t>专利总量偏少，科技成果转化还未能起步，科技服务每年到账经费少。</w:t>
      </w:r>
    </w:p>
    <w:p>
      <w:pPr>
        <w:spacing w:line="360" w:lineRule="auto"/>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2.科技创新服务能力还待提高。</w:t>
      </w:r>
      <w:r>
        <w:rPr>
          <w:rFonts w:hint="eastAsia" w:ascii="方正仿宋_GBK" w:hAnsi="方正仿宋_GBK" w:eastAsia="方正仿宋_GBK" w:cs="方正仿宋_GBK"/>
          <w:sz w:val="32"/>
          <w:szCs w:val="32"/>
        </w:rPr>
        <w:t>学校未设立独立的科技创新服务职能部门，科研与社会创新服务人手少、专业力量不足。缺乏领军型科技创新人物，缺乏具有较强科技创新的专业团队，缺乏具有影响力的科研服务平台，科研与教学、产业、经济社会发展融合程度低。</w:t>
      </w:r>
    </w:p>
    <w:p>
      <w:pPr>
        <w:spacing w:line="360" w:lineRule="auto"/>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3.科研经费来源需要拓展。</w:t>
      </w:r>
      <w:r>
        <w:rPr>
          <w:rFonts w:hint="eastAsia" w:ascii="方正仿宋_GBK" w:hAnsi="方正仿宋_GBK" w:eastAsia="方正仿宋_GBK" w:cs="方正仿宋_GBK"/>
          <w:sz w:val="32"/>
          <w:szCs w:val="32"/>
        </w:rPr>
        <w:t>学校科研经费主要依靠财政投入，学校本身的绩效拨款和财政拨款比同类学校低，难以满足学校发展和教职工职业成长，在资源紧缺的情况下，科研投入经费捉襟见肘。另一方面，由于科研服务创新能力不足，自我造血功能低，外来的科研资金非常有限，使得只能依靠学校自己投入的科研经费不能完全满足学校科技创新发展服务所需。</w:t>
      </w:r>
    </w:p>
    <w:p>
      <w:pPr>
        <w:spacing w:line="360" w:lineRule="auto"/>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4.科研管理制度与激励机制还需健全。</w:t>
      </w:r>
      <w:r>
        <w:rPr>
          <w:rFonts w:hint="eastAsia" w:ascii="方正仿宋_GBK" w:hAnsi="方正仿宋_GBK" w:eastAsia="方正仿宋_GBK" w:cs="方正仿宋_GBK"/>
          <w:sz w:val="32"/>
          <w:szCs w:val="32"/>
        </w:rPr>
        <w:t>现有制度缺乏联动性和系统性，在实际运行中未能与国家政策、教学改革、教师成长、职称晋升、学校快速发展等方面形成整体。激励机制方面，科研奖励措施缺乏持续性，现有的科研奖励办法激励力度不足，尤其是科技创新服务方面的激励机制不足，教师缺乏科技创新的制度与机制动力。</w:t>
      </w:r>
    </w:p>
    <w:p>
      <w:pPr>
        <w:spacing w:line="360" w:lineRule="auto"/>
        <w:ind w:firstLine="643" w:firstLineChars="200"/>
        <w:rPr>
          <w:rFonts w:ascii="黑体" w:hAnsi="黑体" w:eastAsia="黑体" w:cs="黑体"/>
          <w:sz w:val="32"/>
          <w:szCs w:val="32"/>
        </w:rPr>
      </w:pPr>
      <w:r>
        <w:rPr>
          <w:rFonts w:hint="eastAsia" w:ascii="黑体" w:hAnsi="黑体" w:eastAsia="黑体" w:cs="黑体"/>
          <w:b/>
          <w:bCs/>
          <w:sz w:val="32"/>
          <w:szCs w:val="32"/>
        </w:rPr>
        <w:t>二、机遇与挑战</w:t>
      </w:r>
    </w:p>
    <w:p>
      <w:pPr>
        <w:spacing w:line="360" w:lineRule="auto"/>
        <w:ind w:firstLine="562"/>
        <w:rPr>
          <w:rFonts w:ascii="方正仿宋_GBK" w:hAnsi="方正仿宋_GBK" w:eastAsia="方正仿宋_GBK" w:cs="方正仿宋_GBK"/>
          <w:b/>
          <w:bCs/>
          <w:sz w:val="32"/>
          <w:szCs w:val="32"/>
        </w:rPr>
      </w:pPr>
      <w:r>
        <w:rPr>
          <w:rFonts w:hint="eastAsia" w:ascii="方正楷体_GBK" w:hAnsi="方正楷体_GBK" w:eastAsia="方正楷体_GBK" w:cs="方正楷体_GBK"/>
          <w:b/>
          <w:bCs/>
          <w:sz w:val="32"/>
          <w:szCs w:val="32"/>
        </w:rPr>
        <w:t>（一）科技自立自强战略亟须学校担当新使命</w:t>
      </w:r>
    </w:p>
    <w:p>
      <w:pPr>
        <w:spacing w:line="360" w:lineRule="auto"/>
        <w:ind w:firstLine="562"/>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党的十九届五中全会指出，坚持创新在我国现代化建设全局中的核心地位，把科技自立自强作为国家发展的战略支撑。要“完善国家创新体系，加快建设科技强国，实现高水平科技自立自强”离不开职业教育培养更多推动科研成果转化和应用的技术人才、能工巧匠、大国工匠。科技创新服务作为高职院校的社会职能之一，科技自立自强战略为学校强基固本、提质培优、丰富内涵提供了大有作为的广阔空间，但也对学校如何主动担当起服务人才强国、科技强国战略的新使命提出了更高要求。学校需要在如何加大科技创新服务能力建设，如何凝练资源合力，如何积极开展应用技术推广，如何服务区域社会产业技术转型升级方面有更积极主动的作为。</w:t>
      </w:r>
    </w:p>
    <w:p>
      <w:pPr>
        <w:spacing w:line="360" w:lineRule="auto"/>
        <w:ind w:firstLine="562"/>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（二）西部科学城建设需要学校确立新目标</w:t>
      </w:r>
    </w:p>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 xml:space="preserve">   </w:t>
      </w:r>
      <w:r>
        <w:rPr>
          <w:rFonts w:hint="eastAsia" w:ascii="方正仿宋_GBK" w:hAnsi="方正仿宋_GBK" w:eastAsia="方正仿宋_GBK" w:cs="方正仿宋_GBK"/>
          <w:sz w:val="32"/>
          <w:szCs w:val="32"/>
        </w:rPr>
        <w:t>2020年1月3日，习近平总书记在中央财经委员会第六次会议上发表重要讲话，专题部署成渝地区双城经济圈建设，将其上升为国家战略。在讲到科技创新时，总书记特别强调，支持两地以“一城多园”模式合作共建西部科学城。重庆市委市政府作出打造高新区升级版、高水平建设科学城的重大决策，拟将西部科学城作为成渝地区双城经济圈建设中打头阵、作先锋、挑大梁的重要载体和核心支撑。西部科技城（重庆）的战略布局和快速发展，为学校加大产科教融合，对接高端产业和企业提供了前所未有的资源基础和条件，但也为学校如何积极应对创新作为重庆高质量发展的强大动能的战略发展提出了前所未有的挑战：如何提升科技创新服务能力、如何打破思维禁锢创新发展思路，如何重构学校技术技能发展平台，如何组建高质量的跨专业、跨校际混编化创新服务团队，如何形成服务西部科技城（重庆）目标体系等方面需要做更深入的思考和探索。</w:t>
      </w:r>
    </w:p>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楷体_GBK" w:hAnsi="方正楷体_GBK" w:eastAsia="方正楷体_GBK" w:cs="方正楷体_GBK"/>
          <w:b/>
          <w:bCs/>
          <w:sz w:val="32"/>
          <w:szCs w:val="32"/>
        </w:rPr>
        <w:t>（三）“双高”建设任务需要学校更多新作为</w:t>
      </w:r>
    </w:p>
    <w:p>
      <w:pPr>
        <w:spacing w:line="360" w:lineRule="auto"/>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 xml:space="preserve">   </w:t>
      </w:r>
      <w:r>
        <w:rPr>
          <w:rFonts w:hint="eastAsia" w:ascii="方正仿宋_GBK" w:hAnsi="方正仿宋_GBK" w:eastAsia="方正仿宋_GBK" w:cs="方正仿宋_GBK"/>
          <w:sz w:val="32"/>
          <w:szCs w:val="32"/>
        </w:rPr>
        <w:t>学校被重庆市教委正式确定为市级“双高”校培育单位，技术技能服务平台建设是“双高”建设任务的重点，为学校如何在较短时期内提升科技创新服务能力提出了严峻的挑战。如何发挥好技术技能服务平台作为高素质人才培养、高水平专业群建设、高效能师资团队培育的重要支撑作用，如何在较短时期内快速提升学校科技创新服务质量，突破现有发展短板，培育更多高水平、高层级科技创新服务成果，是摆在学校科技创新服务建设面前的重大课题：如何快速突破现有发展短板，如何迅速提升科技创新治理能力，如何加大科技创新服务团队建设力度，如何创新科技创新服务发展路径，需要拓展思维、系统谋划。</w:t>
      </w:r>
    </w:p>
    <w:p>
      <w:pPr>
        <w:spacing w:line="360" w:lineRule="auto"/>
        <w:ind w:firstLine="643" w:firstLineChars="200"/>
        <w:rPr>
          <w:rFonts w:ascii="黑体" w:hAnsi="黑体" w:eastAsia="黑体" w:cs="黑体"/>
          <w:sz w:val="32"/>
          <w:szCs w:val="32"/>
        </w:rPr>
      </w:pPr>
      <w:r>
        <w:rPr>
          <w:rFonts w:hint="eastAsia" w:ascii="黑体" w:hAnsi="黑体" w:eastAsia="黑体" w:cs="黑体"/>
          <w:b/>
          <w:bCs/>
          <w:sz w:val="32"/>
          <w:szCs w:val="32"/>
        </w:rPr>
        <w:t>三、指导思想</w:t>
      </w:r>
    </w:p>
    <w:p>
      <w:pPr>
        <w:pStyle w:val="2"/>
        <w:spacing w:after="0"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习近平新时代中国特色社会主义思想为指导，深入贯彻党的十九大和十九届历次全会精神，全面落实习近平总书记关于科技创新的重要论述和对重庆提出的营造良好政治生态，坚持“两点”定位、“两地”“两高”目标，发挥“三个作用”和推动成渝地区双城经济圈建设等重要指示要求，以科学家精神为根本，面向科技强国战略、西部科学城建设和重庆市、永川区经济社会发展需要，主动服务成渝双城经济圈高质量发展和高品质生活。站在“科技是国之利器”的高度，以新发展理念为指导，牢牢把握“科技自立自强”的战略定位，完善制度体系，建设高素质科研与社会创新服务队伍，着力打造科研与社会创新服务高质量平台，着力打好“双高”建设高水平技术技能平台建设攻坚战，着力培育科研与社会创新服务优质团队，着力激发人才创新活力，着力提升科研与社会创新服务水平和能力，着力优化学校科研与社会创新服务生态，实现学校“三有两能”发展目标。</w:t>
      </w:r>
    </w:p>
    <w:p>
      <w:pPr>
        <w:spacing w:line="360" w:lineRule="auto"/>
        <w:ind w:firstLine="643" w:firstLineChars="200"/>
        <w:rPr>
          <w:rFonts w:ascii="黑体" w:hAnsi="黑体" w:eastAsia="黑体" w:cs="黑体"/>
          <w:sz w:val="32"/>
          <w:szCs w:val="32"/>
        </w:rPr>
      </w:pPr>
      <w:r>
        <w:rPr>
          <w:rFonts w:hint="eastAsia" w:ascii="黑体" w:hAnsi="黑体" w:eastAsia="黑体" w:cs="黑体"/>
          <w:b/>
          <w:bCs/>
          <w:sz w:val="32"/>
          <w:szCs w:val="32"/>
        </w:rPr>
        <w:t>四、建设思路与原则</w:t>
      </w:r>
    </w:p>
    <w:p>
      <w:pPr>
        <w:spacing w:line="360" w:lineRule="auto"/>
        <w:ind w:firstLine="420"/>
        <w:rPr>
          <w:rFonts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（一）建设思路</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紧抓西部科技创新中心和重庆科学城建设发展机遇，在永川区“十四五”“双创”建设战略和西部职教基地建设契机中孕育学校科技创新发展新机，围绕区域社会产业转型升级和产业基础高级化需求，以高素质技术技能人才培养为核心，通过“培育-整合-激励-引入”的发展思路，建设一批在区域经济社会发展中具有影响力的科技创新服务和协同创新平台与团队，开创学校科技创新服务新局面。</w:t>
      </w:r>
    </w:p>
    <w:p>
      <w:pPr>
        <w:spacing w:line="360" w:lineRule="auto"/>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（二）建设原则</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
          <w:bCs/>
          <w:sz w:val="32"/>
          <w:szCs w:val="32"/>
        </w:rPr>
        <w:t>坚持服务面向和引领发展并重。</w:t>
      </w:r>
      <w:r>
        <w:rPr>
          <w:rFonts w:hint="eastAsia" w:ascii="方正仿宋_GBK" w:hAnsi="方正仿宋_GBK" w:eastAsia="方正仿宋_GBK" w:cs="方正仿宋_GBK"/>
          <w:sz w:val="32"/>
          <w:szCs w:val="32"/>
        </w:rPr>
        <w:t>深入分析和把握西部科学城（重庆）和永川区经济社会建设战略与目标，面向区域经济社会发展和教育教学重要改革开展课题研究、技术研发、技术应用推广，发挥科研与社会创新服务在学校内涵建设、“双高”建设中的引领作用。</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
          <w:bCs/>
          <w:sz w:val="32"/>
          <w:szCs w:val="32"/>
        </w:rPr>
        <w:t>坚持重点培育和全面建设相结合。</w:t>
      </w:r>
      <w:r>
        <w:rPr>
          <w:rFonts w:hint="eastAsia" w:ascii="方正仿宋_GBK" w:hAnsi="方正仿宋_GBK" w:eastAsia="方正仿宋_GBK" w:cs="方正仿宋_GBK"/>
          <w:sz w:val="32"/>
          <w:szCs w:val="32"/>
        </w:rPr>
        <w:t>聚焦重点建设任务，着力建设好一批具有资源聚合性的科研与社会创新服务平台，着力分层次打造一支具有引领性的科研与社会创新服务人才和优秀团队。同时加强专业指导，优化科研项目，全面提升学校科研与社会创新服务能力和水平。</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
          <w:bCs/>
          <w:sz w:val="32"/>
          <w:szCs w:val="32"/>
        </w:rPr>
        <w:t>坚持开放融合和成果导向相结合。</w:t>
      </w:r>
      <w:r>
        <w:rPr>
          <w:rFonts w:hint="eastAsia" w:ascii="方正仿宋_GBK" w:hAnsi="方正仿宋_GBK" w:eastAsia="方正仿宋_GBK" w:cs="方正仿宋_GBK"/>
          <w:sz w:val="32"/>
          <w:szCs w:val="32"/>
        </w:rPr>
        <w:t>充分利用好西部职教基地和成渝双城经济圈建设契机，利用好校企、校地和校际合作资源，以成果为导向，鼓励组建混编团队，加强与优质院校和企业的科技创新合作。</w:t>
      </w:r>
    </w:p>
    <w:p>
      <w:pPr>
        <w:spacing w:line="360" w:lineRule="auto"/>
        <w:ind w:firstLine="640" w:firstLineChars="200"/>
        <w:rPr>
          <w:rFonts w:ascii="方正仿宋_GBK" w:hAnsi="方正仿宋_GBK" w:eastAsia="方正仿宋_GBK" w:cs="方正仿宋_GBK"/>
          <w:sz w:val="32"/>
          <w:szCs w:val="32"/>
        </w:rPr>
      </w:pPr>
      <w:r>
        <w:rPr>
          <w:rFonts w:hint="eastAsia" w:ascii="黑体" w:hAnsi="黑体" w:eastAsia="黑体" w:cs="黑体"/>
          <w:sz w:val="32"/>
          <w:szCs w:val="32"/>
        </w:rPr>
        <w:t>五、发展目标</w:t>
      </w:r>
    </w:p>
    <w:p>
      <w:pPr>
        <w:spacing w:line="360" w:lineRule="auto"/>
        <w:ind w:firstLine="643" w:firstLineChars="200"/>
        <w:rPr>
          <w:rFonts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（一）总目标</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到2025年，学校科研与社会创新服务能力和水平得到较大程度提升，高水平科研成果数量与质量显著增长，科研与社会创新服务资源聚合度增强，有层次丰富、类型多样的科研与创新服务平台，有一支成熟的科研与社会创新服务团队，科研与社会创新服务成为学校内涵提升、高质量建设的重要策源中心。</w:t>
      </w:r>
    </w:p>
    <w:p>
      <w:pPr>
        <w:spacing w:line="360" w:lineRule="auto"/>
        <w:ind w:left="42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（二）具体目标</w:t>
      </w:r>
    </w:p>
    <w:p>
      <w:pPr>
        <w:spacing w:line="360" w:lineRule="auto"/>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1.平台建设。</w:t>
      </w:r>
      <w:r>
        <w:rPr>
          <w:rFonts w:hint="eastAsia" w:ascii="方正仿宋_GBK" w:hAnsi="方正仿宋_GBK" w:eastAsia="方正仿宋_GBK" w:cs="方正仿宋_GBK"/>
          <w:sz w:val="32"/>
          <w:szCs w:val="32"/>
        </w:rPr>
        <w:t>着力建设好10个左右校级科研与社会创新服务平台，力争再培育建设至少2个市级科研平台或应用推广中心。</w:t>
      </w:r>
    </w:p>
    <w:p>
      <w:pPr>
        <w:spacing w:line="360" w:lineRule="auto"/>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2.队伍建设。</w:t>
      </w:r>
      <w:r>
        <w:rPr>
          <w:rFonts w:hint="eastAsia" w:ascii="方正仿宋_GBK" w:hAnsi="方正仿宋_GBK" w:eastAsia="方正仿宋_GBK" w:cs="方正仿宋_GBK"/>
          <w:sz w:val="32"/>
          <w:szCs w:val="32"/>
        </w:rPr>
        <w:t>以平台为载体，鼓励跨专业、跨院系和跨组织构建混编化科研与社会创新服务团队，培育至少5个具有引领性的校级科研与社会创新服务团队，培育5-10名科研与社会创新服务领军人才。</w:t>
      </w:r>
    </w:p>
    <w:p>
      <w:pPr>
        <w:spacing w:line="360" w:lineRule="auto"/>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3.科研项目。</w:t>
      </w:r>
      <w:r>
        <w:rPr>
          <w:rFonts w:hint="eastAsia" w:ascii="方正仿宋_GBK" w:hAnsi="方正仿宋_GBK" w:eastAsia="方正仿宋_GBK" w:cs="方正仿宋_GBK"/>
          <w:sz w:val="32"/>
          <w:szCs w:val="32"/>
        </w:rPr>
        <w:t>市级及以上科研项目不少于30</w:t>
      </w:r>
      <w:r>
        <w:rPr>
          <w:rFonts w:hint="eastAsia" w:ascii="方正仿宋_GBK" w:hAnsi="方正仿宋_GBK" w:eastAsia="方正仿宋_GBK" w:cs="方正仿宋_GBK"/>
          <w:sz w:val="32"/>
          <w:szCs w:val="32"/>
        </w:rPr>
        <w:t>项/年，力争立项至少5</w:t>
      </w:r>
      <w:r>
        <w:rPr>
          <w:rFonts w:hint="eastAsia" w:ascii="方正仿宋_GBK" w:hAnsi="方正仿宋_GBK" w:eastAsia="方正仿宋_GBK" w:cs="方正仿宋_GBK"/>
          <w:sz w:val="32"/>
          <w:szCs w:val="32"/>
        </w:rPr>
        <w:t>项国家级科研项目；横向技术研发项目不少于50项/年，到账经费不少于200万/年。</w:t>
      </w:r>
    </w:p>
    <w:p>
      <w:pPr>
        <w:spacing w:line="360" w:lineRule="auto"/>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4.科研成果。</w:t>
      </w:r>
      <w:r>
        <w:rPr>
          <w:rFonts w:hint="eastAsia" w:ascii="方正仿宋_GBK" w:hAnsi="方正仿宋_GBK" w:eastAsia="方正仿宋_GBK" w:cs="方正仿宋_GBK"/>
          <w:sz w:val="32"/>
          <w:szCs w:val="32"/>
        </w:rPr>
        <w:t>发表高水平论文、资政报告，出版专著和教材等高水平科研成果力争每年不少于50篇/部；实用新型专利、发明专利等知识产权授权力争不少于40项；成果转化力争达到3项。</w:t>
      </w:r>
    </w:p>
    <w:p>
      <w:pPr>
        <w:spacing w:line="360" w:lineRule="auto"/>
        <w:ind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rPr>
        <w:t>5.服务效能。</w:t>
      </w:r>
      <w:r>
        <w:rPr>
          <w:rFonts w:hint="eastAsia" w:ascii="方正仿宋_GBK" w:hAnsi="方正仿宋_GBK" w:eastAsia="方正仿宋_GBK" w:cs="方正仿宋_GBK"/>
          <w:sz w:val="32"/>
          <w:szCs w:val="32"/>
        </w:rPr>
        <w:t>全面推行科研管理信息化；健全并完善学校科研与社会创新服务制度体系；推进“一院一平台”科研管理改革，赋予二级院系和科研平台相应的管理自主权，充分激发教职工科研与社会创新服务活力。</w:t>
      </w:r>
    </w:p>
    <w:p>
      <w:pPr>
        <w:spacing w:line="360" w:lineRule="auto"/>
        <w:ind w:firstLine="643" w:firstLineChars="200"/>
        <w:rPr>
          <w:rFonts w:ascii="黑体" w:hAnsi="黑体" w:eastAsia="黑体" w:cs="黑体"/>
          <w:b/>
          <w:bCs/>
          <w:sz w:val="32"/>
          <w:szCs w:val="32"/>
        </w:rPr>
      </w:pPr>
      <w:r>
        <w:rPr>
          <w:rFonts w:hint="eastAsia" w:ascii="黑体" w:hAnsi="黑体" w:eastAsia="黑体" w:cs="黑体"/>
          <w:b/>
          <w:bCs/>
          <w:sz w:val="32"/>
          <w:szCs w:val="32"/>
        </w:rPr>
        <w:t>五、重点任务</w:t>
      </w:r>
    </w:p>
    <w:p>
      <w:pPr>
        <w:spacing w:line="360" w:lineRule="auto"/>
        <w:ind w:firstLine="640" w:firstLineChars="200"/>
        <w:rPr>
          <w:rFonts w:ascii="方正仿宋_GBK" w:hAnsi="方正仿宋_GBK" w:eastAsia="方正仿宋_GBK" w:cs="方正仿宋_GBK"/>
          <w:b/>
          <w:bCs/>
          <w:sz w:val="32"/>
          <w:szCs w:val="32"/>
        </w:rPr>
      </w:pPr>
      <w:r>
        <w:rPr>
          <w:rFonts w:hint="eastAsia" w:ascii="方正仿宋_GBK" w:hAnsi="方正仿宋_GBK" w:eastAsia="方正仿宋_GBK" w:cs="方正仿宋_GBK"/>
          <w:sz w:val="32"/>
          <w:szCs w:val="32"/>
        </w:rPr>
        <w:t>按照学校并轨发展、强基升级的发展思路，为充分发挥科研与社会创新服务在学校“双高”建设和高质量发展中的引领作用，“十四五”时期，学校将着力以平台建设为重点、高水平科研项目为核心、人才团队培养为中心、制度体系建设为支撑，形成十四五时期科研与社会创新服务重点建设任务。</w:t>
      </w:r>
    </w:p>
    <w:p>
      <w:pPr>
        <w:spacing w:line="360" w:lineRule="auto"/>
        <w:ind w:firstLine="643"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b/>
          <w:bCs/>
          <w:sz w:val="32"/>
          <w:szCs w:val="32"/>
        </w:rPr>
        <w:t>（一）着力科研与社会创新服务平台建设</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续推进“工业机器人运维重庆市高校工程中心”和“重庆市物联网应用技术推广中心”建设，使其能顺利通过验收的同时，联合成渝其他高校、科研院所、科技型企业等进一步发挥平台作用，使其在技术研发、技术推广应用、技术培训等方面产生一批具有影响力的高水平成果。</w:t>
      </w:r>
    </w:p>
    <w:p>
      <w:pPr>
        <w:pStyle w:val="2"/>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充分用好陈志军首席大师工作室资源优势，以新能源汽车专业为依托，联合成渝两地汽车领域高层次人才，组建陈志军汽车维修技能大师工作室，发挥大师工作室在技术引领、创新带动、服务辐射方面的重要作用，将其建设为市级高水平科技创新服务平台。</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整合学校大数据优势资源和电子商务、智慧物流应用技术优势，围绕智慧零售高水平专业群建设组建智慧零售产教融合协同创新中心，着力在智慧零售新型营销技术、电子商务数据分析、客服管理、电子商务技术等领域形成一批产学研用协同创新成果。</w:t>
      </w:r>
    </w:p>
    <w:p>
      <w:pPr>
        <w:pStyle w:val="2"/>
      </w:pPr>
      <w:r>
        <w:rPr>
          <w:rFonts w:hint="eastAsia" w:ascii="方正仿宋_GBK" w:hAnsi="方正仿宋_GBK" w:eastAsia="方正仿宋_GBK" w:cs="方正仿宋_GBK"/>
          <w:sz w:val="32"/>
          <w:szCs w:val="32"/>
        </w:rPr>
        <w:t xml:space="preserve">    围绕高品质生活发展需求，整合一批具有影响力的文旅康养社会资源，组建文旅康养产教融合协同创新中心，围绕人才培养培训、资源建设、社区服务、区域文旅产业发展，形成一批产学研训创赛相融合的创新成果。</w:t>
      </w:r>
    </w:p>
    <w:p>
      <w:pPr>
        <w:pStyle w:val="2"/>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升级重构“智能装备研究所”“绿色建筑与先进建造技术（BIM）研究中心”等校级科研组织，组建“智能建造应用技术服务中心”“大数据与人工智能应用技术服务中心”“航空应用技术服务中心”等3个技术技能服务平台。面向中小微企业联合开展技术研发、技术培训、技术应用和产品生产，将技术技能平台打造为永川及其周边区域中小微企业科技创新服务高地。</w:t>
      </w:r>
    </w:p>
    <w:p>
      <w:pPr>
        <w:pStyle w:val="2"/>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传承文化研究所、高等职业教育研究所”为基础，加强与政府、园区、行业、企业深度合作，围绕红色文化传承与思政课程建设、乡村振兴、技能型社会建设、西部职教基地发展等重要议题，与重庆大学、西南大学、重庆文理学院、人社局、乡村振兴局等院校和政府职能部门联合组建3-4个研究智库，为为区域经济社会建设、学校高质量发展和人才质量提升提供决策咨询，产生一批有价值、有影响力的智力成果。</w:t>
      </w:r>
    </w:p>
    <w:p>
      <w:pPr>
        <w:spacing w:line="360" w:lineRule="auto"/>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（二）聚焦国家级科研项目实现高水平突破</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科研与社会创新服务为抓手，着力加强对科研项目的重点打造。以市级科研项目申报为重点，加强对项目申报的全过程指导，尤其加强对市社科项目、自然科学项目、科技项目、人文社科项目和教育规划项目的重点指导，力争在市级重点、重大项目立项数量方面实现持续增长。</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设立校级重大项目培育制度，每年遴选3-5项具有重大价值和潜力的科研项目作为国家级项目的培育对象，聘请专家对项目进行全过程指导，力争在国家社科、国家自科、全国规划办课题、教育部课题、发改委课题等重要科研项目方面实现突破，在国家一级学会课题、国家部委课题等成功立项10项左右课题。</w:t>
      </w:r>
    </w:p>
    <w:p>
      <w:pPr>
        <w:spacing w:line="360" w:lineRule="auto"/>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（三）着力培育领军型科研人才和优秀团队</w:t>
      </w:r>
    </w:p>
    <w:p>
      <w:pPr>
        <w:spacing w:line="360" w:lineRule="auto"/>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聘请西南大学、重庆理工大学、教育科学研究院等科研领域高层次人才，组建一支高水平校外特聘学术委员专家团队，加大对领军型科研人才、优秀科研团队的培育培养力度。联合成渝两地优质企业和科研院校，组建一支汽车领域高层次人才团队，以师带徒方式加强对智能制造专业群领军型科技创新服务人才的培育。</w:t>
      </w:r>
    </w:p>
    <w:p>
      <w:pPr>
        <w:spacing w:line="360" w:lineRule="auto"/>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持续优化和丰富校级科研项目，为教职工提供更多科研成长机会。加强对科研项目申报、立项、开题和结题的全程指导，以科研项目为载体提升教职工科学研究能力。加强过程性指导、质量审核与结果评价，注重对教职员工的科研创新能力培训、培养和提升。借助学校组建的发展智库资源，通过开展高质量科研课题开结题评审会、高水平专家讲座、科技创新服务研讨会等形式，加强对教职员工科研与社会创新服务主动意识的培育、引导与指导。</w:t>
      </w:r>
    </w:p>
    <w:p>
      <w:pPr>
        <w:spacing w:line="360" w:lineRule="auto"/>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结合科研平台建设需要，通过送培、师徒制、访学交流等方式，重点加大对各中心以及下设的团队、工作室、项目组等负责人的培育力度，力争培育5-10名科技创新服务领军人才，5个左右科研与社会创新服务精英团队。</w:t>
      </w:r>
    </w:p>
    <w:p>
      <w:pPr>
        <w:pStyle w:val="2"/>
        <w:rPr>
          <w:rFonts w:ascii="方正楷体_GBK" w:hAnsi="方正楷体_GBK" w:eastAsia="方正楷体_GBK" w:cs="方正楷体_GBK"/>
          <w:b/>
          <w:bCs/>
          <w:sz w:val="32"/>
          <w:szCs w:val="32"/>
        </w:rPr>
      </w:pPr>
      <w:r>
        <w:rPr>
          <w:rFonts w:hint="eastAsia" w:ascii="方正仿宋_GBK" w:hAnsi="方正仿宋_GBK" w:eastAsia="方正仿宋_GBK" w:cs="方正仿宋_GBK"/>
          <w:sz w:val="32"/>
          <w:szCs w:val="32"/>
        </w:rPr>
        <w:t xml:space="preserve">    </w:t>
      </w:r>
      <w:r>
        <w:rPr>
          <w:rFonts w:hint="eastAsia" w:ascii="方正楷体_GBK" w:hAnsi="方正楷体_GBK" w:eastAsia="方正楷体_GBK" w:cs="方正楷体_GBK"/>
          <w:b/>
          <w:bCs/>
          <w:sz w:val="32"/>
          <w:szCs w:val="32"/>
        </w:rPr>
        <w:t>（四）着力构建保障有力的制度体系</w:t>
      </w:r>
    </w:p>
    <w:p>
      <w:pPr>
        <w:spacing w:line="360" w:lineRule="auto"/>
        <w:ind w:firstLine="640" w:firstLineChars="200"/>
        <w:rPr>
          <w:rFonts w:ascii="黑体" w:hAnsi="黑体" w:eastAsia="黑体" w:cs="黑体"/>
          <w:b/>
          <w:bCs/>
          <w:sz w:val="32"/>
          <w:szCs w:val="32"/>
        </w:rPr>
      </w:pPr>
      <w:r>
        <w:rPr>
          <w:rFonts w:hint="eastAsia" w:ascii="方正仿宋_GBK" w:hAnsi="方正仿宋_GBK" w:eastAsia="方正仿宋_GBK" w:cs="方正仿宋_GBK"/>
          <w:sz w:val="32"/>
          <w:szCs w:val="32"/>
        </w:rPr>
        <w:t>贯彻落实国家科技强国战略、人才强国战略、创新驱动发展战略，结合职业教育高质量发展需求、国家教育综合评价改革需要，以制度建设为抓手，全面梳理制约教职工创新活力的制度障碍和阻滞机制，修订完善科研项目管理、经费管理、专利管理、平台管理等制度，建立科研诚信管理制度，制订多类型科研与社会创新服务成果奖励和计分管理实施细则，结合学校人事改革和评价改革，制订教师科研与社会服务绩效管理办法。</w:t>
      </w:r>
    </w:p>
    <w:p>
      <w:pPr>
        <w:spacing w:line="360" w:lineRule="auto"/>
        <w:ind w:firstLine="643" w:firstLineChars="200"/>
        <w:rPr>
          <w:rFonts w:ascii="方正仿宋_GBK" w:hAnsi="方正仿宋_GBK" w:eastAsia="方正仿宋_GBK" w:cs="方正仿宋_GBK"/>
          <w:sz w:val="32"/>
          <w:szCs w:val="32"/>
        </w:rPr>
      </w:pPr>
      <w:r>
        <w:rPr>
          <w:rFonts w:hint="eastAsia" w:ascii="黑体" w:hAnsi="黑体" w:eastAsia="黑体" w:cs="黑体"/>
          <w:b/>
          <w:bCs/>
          <w:sz w:val="32"/>
          <w:szCs w:val="32"/>
        </w:rPr>
        <w:t>六、具体举措</w:t>
      </w:r>
    </w:p>
    <w:p>
      <w:pPr>
        <w:spacing w:line="360" w:lineRule="auto"/>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（一）探索分级培育机制</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一年建立、三年建设、五年形成特色”的建设思路，根据专业群发展内涵和专业特色，以院系为单位建立科技创新服务中心或应用技术协同创新中心。各中心结合自己的资源条件和区域产业与经济社会发展，凝练科技创新服务方向和突破点，并根据发展需要自行组建科技创新服务团队、工作室等基层组织，形成专业特色明显、内涵形式丰富、服务对象多元、发展范围广泛的校级科技创新服务体系。学校根据总体发展目标和“双高”建设任务、“提质培优”行动计划，根据各科技创新服务中心或研究室的人员构成质量、目标任务重要性、成果数量和质量、绩效评估结果等综合因素，确定为市级培育、校级重点、校级一般、校级培育四个不同的类型，并给予相应的经费、政策和资源划拨与支持。</w:t>
      </w:r>
    </w:p>
    <w:p>
      <w:pPr>
        <w:spacing w:line="360" w:lineRule="auto"/>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（二）实施分类指导计划</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托学校现有科技创新服务优秀团队和领军人员，整合合作企业、优质校际合作单位、区域科研院所等优质资源人才，对建立的各技术创新服务中心、协同创新中心、研究室、科技创新团队等实施分类指导行动计划。每年根据各中心或研究室、团队的发展需求，形成分类指导行动方案和计划任务，聘请或邀请相关领域专家开展分类型的个性化指导和帮扶，以此形成具有专业内涵和创新特色的科技服务类型。</w:t>
      </w:r>
    </w:p>
    <w:p>
      <w:pPr>
        <w:spacing w:line="360" w:lineRule="auto"/>
        <w:ind w:firstLine="643" w:firstLineChars="200"/>
        <w:rPr>
          <w:rFonts w:ascii="方正仿宋_GBK" w:hAnsi="方正仿宋_GBK" w:eastAsia="方正仿宋_GBK" w:cs="方正仿宋_GBK"/>
          <w:b/>
          <w:bCs/>
          <w:sz w:val="32"/>
          <w:szCs w:val="32"/>
        </w:rPr>
      </w:pPr>
      <w:r>
        <w:rPr>
          <w:rFonts w:hint="eastAsia" w:ascii="方正楷体_GBK" w:hAnsi="方正楷体_GBK" w:eastAsia="方正楷体_GBK" w:cs="方正楷体_GBK"/>
          <w:b/>
          <w:bCs/>
          <w:sz w:val="32"/>
          <w:szCs w:val="32"/>
        </w:rPr>
        <w:t>（三）建立成果导向的目标责任制</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以“双高”标志性科技创新成果、学校科技创新重大突破性成果为导向的目标责任机制。建立学校-平台-团队三级目标责任制，学校根据确定的培育层次和类型，将需要达成和力争实现的科技创新目标任务下达各中心，并建立相应的经费管理和考核评价标准。各中心再根据下设团队、工作室和教师情况将目标任务进行层层分解。各中心领衔人作为第一责任人，承担对该中心的建设管理、经费分配、发展指导、考核评价等权责。学校每年度对各中心开展科技创新服务绩效评估，并根据绩效评估结果相应调整下一年度培育层次、经费资助、项目倾斜、政策扶助。</w:t>
      </w:r>
    </w:p>
    <w:p>
      <w:pPr>
        <w:spacing w:line="360" w:lineRule="auto"/>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（四）优化科研与社会创新服务管理流程</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不断改进并完善科研管理信息系统，优化科研成果报送、审核、统计流程。优化科研项目立项、结项、经费报账程序，提高科研项目管理效能。改进科技创新服务团队、工作室建设机制，探索建立基层科技创新组织备案制度，加强成果督导审核与结果评价，提高教职工依据需要组建团队、建立工作室的积极性。</w:t>
      </w:r>
    </w:p>
    <w:p>
      <w:pPr>
        <w:spacing w:line="360" w:lineRule="auto"/>
        <w:ind w:firstLine="560"/>
        <w:rPr>
          <w:rFonts w:ascii="方正仿宋_GBK" w:hAnsi="方正仿宋_GBK" w:eastAsia="方正仿宋_GBK" w:cs="方正仿宋_GBK"/>
          <w:b/>
          <w:bCs/>
          <w:sz w:val="32"/>
          <w:szCs w:val="32"/>
        </w:rPr>
      </w:pPr>
      <w:r>
        <w:rPr>
          <w:rFonts w:hint="eastAsia" w:ascii="方正楷体_GBK" w:hAnsi="方正楷体_GBK" w:eastAsia="方正楷体_GBK" w:cs="方正楷体_GBK"/>
          <w:b/>
          <w:bCs/>
          <w:sz w:val="32"/>
          <w:szCs w:val="32"/>
        </w:rPr>
        <w:t>（五）健全科研与创新服务激励机制</w:t>
      </w:r>
    </w:p>
    <w:p>
      <w:pPr>
        <w:spacing w:line="360" w:lineRule="auto"/>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系统梳理和调研影响学校科技创新服务效能的制度和机制体制障碍，以人员聘用、考核评价、收入分配等制度创新为切入点，打破人员互聘、成果、仪器设备共享等障碍。配套职称评价制度改革，推动破除“五唯”科研与社会创新服务评价改革，探索建立以横向技术服务、社会培训、项目突破、重大成果等替代转换评价制度。</w:t>
      </w:r>
    </w:p>
    <w:p>
      <w:pPr>
        <w:spacing w:line="360" w:lineRule="auto"/>
        <w:ind w:firstLine="56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优化学校横向技术服务管理办法，在国家政策许可范围内创新横向技术服务校企合作路径。加大对横向技术服务的奖励力度，减免或免收横向技术服务税和管理费，充分激励教职工开展横向技术技能服务积极性，切实提高学校横向技术服务经费收入。优化科技成果转化激励机制，落实国家科技成果转化激励政策，对在科技成果转化工作中开展技术开发、技术咨询、技术服务主体给予不低于个人成果收入50%的奖励。制定《科技创新服务重大贡献奖励办法》，设立“科技创新服务突出贡献奖”专项奖励基金。</w:t>
      </w:r>
    </w:p>
    <w:p>
      <w:pPr>
        <w:spacing w:line="360" w:lineRule="auto"/>
        <w:ind w:firstLine="643" w:firstLineChars="200"/>
        <w:rPr>
          <w:rFonts w:ascii="方正仿宋_GBK" w:hAnsi="方正仿宋_GBK" w:eastAsia="方正仿宋_GBK" w:cs="方正仿宋_GBK"/>
          <w:sz w:val="32"/>
          <w:szCs w:val="32"/>
        </w:rPr>
      </w:pPr>
      <w:r>
        <w:rPr>
          <w:rFonts w:hint="eastAsia" w:ascii="黑体" w:hAnsi="黑体" w:eastAsia="黑体" w:cs="黑体"/>
          <w:b/>
          <w:bCs/>
          <w:sz w:val="32"/>
          <w:szCs w:val="32"/>
        </w:rPr>
        <w:t>七、保障措施</w:t>
      </w:r>
    </w:p>
    <w:p>
      <w:pPr>
        <w:spacing w:line="360" w:lineRule="auto"/>
        <w:ind w:firstLine="643" w:firstLineChars="20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（一）加强党对科研与社会服务工作的指导</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党在科技创新服务中的领导和把握方向的重要作用。注重对学校科技创新服务体系的顶层设计和发展思路的明确。坚持重大科技创新服务事项报送党委会讨论决定的制度，坚持专家讲座、科研立项、科研选题、科技服务意识形态审查制度。发挥党委在科技创新服务中的引领作用和推动作用。</w:t>
      </w:r>
    </w:p>
    <w:p>
      <w:pPr>
        <w:spacing w:line="360" w:lineRule="auto"/>
        <w:ind w:left="480"/>
        <w:rPr>
          <w:rFonts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（二）建立科研与社会创新服务经费投入保障制度</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立可持续的经费投入保障制度，继续保证对科研项目经费1：1配套的支持力度，对有重大突破性科技创新服务项目和成果给予1：1.5或1：2的经费配套。加大对科技创新服务成果奖励经费支持力度，加大对科技创新服务经费的预算管理，确保有稳定的经费用于科研平台、科研团队、科技服务工作室培育和发展。</w:t>
      </w:r>
    </w:p>
    <w:p>
      <w:pPr>
        <w:spacing w:line="360" w:lineRule="auto"/>
        <w:ind w:left="480"/>
        <w:rPr>
          <w:rFonts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（三）强化科研与社会创新服务绩效评价</w:t>
      </w:r>
    </w:p>
    <w:p>
      <w:pPr>
        <w:spacing w:line="360" w:lineRule="auto"/>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成果导向原则和目标责任机制，加强对科研与社会创新服务的绩效评价。建立科研平台绩效评估制度，加强对科研平台的年度、中期和终期绩效评估，并将评估结果作为经费划拨、指标分配的重要依据。探索建立二级学院科研与社会创新服务绩效评估，激发二级学院在科研与社会创新服务的自主性和积极性。根据学校人事改革需要，科学制定教职工科研与社会创新服务业绩标准，推动科研与社会创新服务分类评价改革，全面调动教职工参与科研与社会创新服务热情与活力。</w:t>
      </w:r>
    </w:p>
    <w:p>
      <w:pPr>
        <w:spacing w:line="360" w:lineRule="auto"/>
        <w:rPr>
          <w:rFonts w:ascii="黑体" w:hAnsi="黑体" w:eastAsia="黑体" w:cs="黑体"/>
          <w:b/>
          <w:bCs/>
          <w:sz w:val="28"/>
          <w:szCs w:val="28"/>
        </w:rPr>
      </w:pPr>
    </w:p>
    <w:p>
      <w:pPr>
        <w:spacing w:line="360" w:lineRule="auto"/>
        <w:rPr>
          <w:rFonts w:ascii="黑体" w:hAnsi="黑体" w:eastAsia="黑体" w:cs="黑体"/>
          <w:b/>
          <w:bCs/>
          <w:sz w:val="28"/>
          <w:szCs w:val="28"/>
        </w:rPr>
      </w:pPr>
    </w:p>
    <w:p>
      <w:pPr>
        <w:spacing w:line="360" w:lineRule="auto"/>
        <w:rPr>
          <w:rFonts w:ascii="黑体" w:hAnsi="黑体" w:eastAsia="黑体" w:cs="黑体"/>
          <w:b/>
          <w:bCs/>
          <w:sz w:val="28"/>
          <w:szCs w:val="28"/>
        </w:rPr>
      </w:pPr>
    </w:p>
    <w:p>
      <w:pPr>
        <w:spacing w:line="360" w:lineRule="auto"/>
        <w:rPr>
          <w:rFonts w:ascii="黑体" w:hAnsi="黑体" w:eastAsia="黑体" w:cs="黑体"/>
          <w:b/>
          <w:bCs/>
          <w:sz w:val="28"/>
          <w:szCs w:val="28"/>
        </w:rPr>
      </w:pPr>
    </w:p>
    <w:p>
      <w:pPr>
        <w:spacing w:line="360" w:lineRule="auto"/>
        <w:rPr>
          <w:rFonts w:ascii="黑体" w:hAnsi="黑体" w:eastAsia="黑体" w:cs="黑体"/>
          <w:b/>
          <w:bCs/>
          <w:sz w:val="28"/>
          <w:szCs w:val="28"/>
        </w:rPr>
      </w:pPr>
    </w:p>
    <w:p>
      <w:pPr>
        <w:pStyle w:val="2"/>
      </w:pPr>
    </w:p>
    <w:p>
      <w:pPr>
        <w:pStyle w:val="2"/>
      </w:pPr>
    </w:p>
    <w:p>
      <w:pPr>
        <w:pStyle w:val="2"/>
      </w:pPr>
    </w:p>
    <w:p>
      <w:pPr>
        <w:pStyle w:val="2"/>
      </w:pPr>
    </w:p>
    <w:p>
      <w:pPr>
        <w:pStyle w:val="2"/>
      </w:pPr>
    </w:p>
    <w:p>
      <w:pPr>
        <w:pStyle w:val="2"/>
      </w:pPr>
    </w:p>
    <w:p>
      <w:pPr>
        <w:spacing w:line="360" w:lineRule="auto"/>
        <w:rPr>
          <w:rFonts w:ascii="黑体" w:hAnsi="黑体" w:eastAsia="黑体" w:cs="黑体"/>
          <w:b/>
          <w:bCs/>
          <w:sz w:val="28"/>
          <w:szCs w:val="28"/>
        </w:rPr>
      </w:pPr>
      <w:r>
        <w:rPr>
          <w:rFonts w:hint="eastAsia" w:ascii="黑体" w:hAnsi="黑体" w:eastAsia="黑体" w:cs="黑体"/>
          <w:b/>
          <w:bCs/>
          <w:sz w:val="28"/>
          <w:szCs w:val="28"/>
        </w:rPr>
        <w:t>附件：</w:t>
      </w:r>
    </w:p>
    <w:p>
      <w:pPr>
        <w:spacing w:line="360" w:lineRule="auto"/>
        <w:jc w:val="center"/>
        <w:rPr>
          <w:rFonts w:ascii="黑体" w:hAnsi="黑体" w:eastAsia="黑体" w:cs="黑体"/>
          <w:b/>
          <w:bCs/>
          <w:sz w:val="28"/>
          <w:szCs w:val="28"/>
        </w:rPr>
      </w:pPr>
      <w:r>
        <w:rPr>
          <w:rFonts w:hint="eastAsia" w:ascii="黑体" w:hAnsi="黑体" w:eastAsia="黑体" w:cs="黑体"/>
          <w:b/>
          <w:bCs/>
          <w:sz w:val="28"/>
          <w:szCs w:val="28"/>
        </w:rPr>
        <w:t>表1.“十四五”科研与社会创新服务重要建设任务</w:t>
      </w:r>
    </w:p>
    <w:tbl>
      <w:tblPr>
        <w:tblStyle w:val="6"/>
        <w:tblW w:w="5000" w:type="pct"/>
        <w:tblInd w:w="0" w:type="dxa"/>
        <w:tblLayout w:type="autofit"/>
        <w:tblCellMar>
          <w:top w:w="0" w:type="dxa"/>
          <w:left w:w="108" w:type="dxa"/>
          <w:bottom w:w="0" w:type="dxa"/>
          <w:right w:w="108" w:type="dxa"/>
        </w:tblCellMar>
      </w:tblPr>
      <w:tblGrid>
        <w:gridCol w:w="594"/>
        <w:gridCol w:w="1386"/>
        <w:gridCol w:w="2918"/>
        <w:gridCol w:w="1105"/>
        <w:gridCol w:w="759"/>
        <w:gridCol w:w="743"/>
        <w:gridCol w:w="1443"/>
      </w:tblGrid>
      <w:tr>
        <w:tblPrEx>
          <w:tblCellMar>
            <w:top w:w="0" w:type="dxa"/>
            <w:left w:w="108" w:type="dxa"/>
            <w:bottom w:w="0" w:type="dxa"/>
            <w:right w:w="108" w:type="dxa"/>
          </w:tblCellMar>
        </w:tblPrEx>
        <w:trPr>
          <w:trHeight w:val="270" w:hRule="atLeast"/>
        </w:trPr>
        <w:tc>
          <w:tcPr>
            <w:tcW w:w="33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rPr>
              <w:t>序号</w:t>
            </w:r>
          </w:p>
        </w:tc>
        <w:tc>
          <w:tcPr>
            <w:tcW w:w="7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rPr>
              <w:t>项目类型</w:t>
            </w:r>
          </w:p>
        </w:tc>
        <w:tc>
          <w:tcPr>
            <w:tcW w:w="1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rPr>
              <w:t>项目内容</w:t>
            </w:r>
          </w:p>
        </w:tc>
        <w:tc>
          <w:tcPr>
            <w:tcW w:w="61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rPr>
              <w:t>数量</w:t>
            </w:r>
          </w:p>
        </w:tc>
        <w:tc>
          <w:tcPr>
            <w:tcW w:w="8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rPr>
              <w:t>级别</w:t>
            </w:r>
          </w:p>
        </w:tc>
        <w:tc>
          <w:tcPr>
            <w:tcW w:w="80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rPr>
              <w:t>经费预算</w:t>
            </w:r>
            <w:r>
              <w:rPr>
                <w:rFonts w:hint="eastAsia" w:ascii="仿宋" w:hAnsi="仿宋" w:eastAsia="仿宋" w:cs="仿宋"/>
                <w:b/>
                <w:bCs/>
                <w:color w:val="000000"/>
                <w:kern w:val="0"/>
                <w:sz w:val="18"/>
                <w:szCs w:val="18"/>
              </w:rPr>
              <w:br w:type="textWrapping"/>
            </w:r>
            <w:r>
              <w:rPr>
                <w:rFonts w:hint="eastAsia" w:ascii="仿宋" w:hAnsi="仿宋" w:eastAsia="仿宋" w:cs="仿宋"/>
                <w:b/>
                <w:bCs/>
                <w:color w:val="000000"/>
                <w:kern w:val="0"/>
                <w:sz w:val="18"/>
                <w:szCs w:val="18"/>
              </w:rPr>
              <w:t>（单位：万元）</w:t>
            </w:r>
          </w:p>
        </w:tc>
      </w:tr>
      <w:tr>
        <w:tblPrEx>
          <w:tblCellMar>
            <w:top w:w="0" w:type="dxa"/>
            <w:left w:w="108" w:type="dxa"/>
            <w:bottom w:w="0" w:type="dxa"/>
            <w:right w:w="108" w:type="dxa"/>
          </w:tblCellMar>
        </w:tblPrEx>
        <w:trPr>
          <w:trHeight w:val="270" w:hRule="atLeast"/>
        </w:trPr>
        <w:tc>
          <w:tcPr>
            <w:tcW w:w="33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1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rPr>
              <w:t>国家级</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rPr>
              <w:t>市级</w:t>
            </w:r>
          </w:p>
        </w:tc>
        <w:tc>
          <w:tcPr>
            <w:tcW w:w="80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774" w:type="pct"/>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平台建设</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产教融合协同创新中心（个）</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100</w:t>
            </w:r>
          </w:p>
        </w:tc>
      </w:tr>
      <w:tr>
        <w:tblPrEx>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w:t>
            </w:r>
          </w:p>
        </w:tc>
        <w:tc>
          <w:tcPr>
            <w:tcW w:w="774" w:type="pct"/>
            <w:vMerge w:val="continue"/>
            <w:tcBorders>
              <w:left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技术技能创新服务平台（个）</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150</w:t>
            </w:r>
          </w:p>
        </w:tc>
      </w:tr>
      <w:tr>
        <w:tblPrEx>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w:t>
            </w:r>
          </w:p>
        </w:tc>
        <w:tc>
          <w:tcPr>
            <w:tcW w:w="774" w:type="pct"/>
            <w:vMerge w:val="continue"/>
            <w:tcBorders>
              <w:left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大师工作室（个）</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1</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300</w:t>
            </w:r>
          </w:p>
        </w:tc>
      </w:tr>
      <w:tr>
        <w:tblPrEx>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774" w:type="pct"/>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研究智库（个）</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r>
              <w:rPr>
                <w:rFonts w:hint="eastAsia" w:ascii="仿宋" w:hAnsi="仿宋" w:eastAsia="仿宋" w:cs="仿宋"/>
                <w:color w:val="000000"/>
                <w:sz w:val="18"/>
                <w:szCs w:val="18"/>
              </w:rPr>
              <w:t>1</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200</w:t>
            </w:r>
          </w:p>
        </w:tc>
      </w:tr>
      <w:tr>
        <w:tblPrEx>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w:t>
            </w:r>
          </w:p>
        </w:tc>
        <w:tc>
          <w:tcPr>
            <w:tcW w:w="7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科研项目</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纵向科研项目（项/年）</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30</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300</w:t>
            </w:r>
          </w:p>
        </w:tc>
      </w:tr>
      <w:tr>
        <w:tblPrEx>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6</w:t>
            </w:r>
          </w:p>
        </w:tc>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横向服务项目（项/年）</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50</w:t>
            </w:r>
          </w:p>
        </w:tc>
      </w:tr>
      <w:tr>
        <w:tblPrEx>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7</w:t>
            </w:r>
          </w:p>
        </w:tc>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横向与纵向到账经费（万元/年）</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200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r>
      <w:tr>
        <w:tblPrEx>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8</w:t>
            </w:r>
          </w:p>
        </w:tc>
        <w:tc>
          <w:tcPr>
            <w:tcW w:w="7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科研成果</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高水平论文（篇）、专著（部）</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50</w:t>
            </w:r>
          </w:p>
        </w:tc>
      </w:tr>
      <w:tr>
        <w:tblPrEx>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9</w:t>
            </w:r>
          </w:p>
        </w:tc>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授权专利（项）</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40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50</w:t>
            </w:r>
          </w:p>
        </w:tc>
      </w:tr>
      <w:tr>
        <w:tblPrEx>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成果转化</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科技创新服务成果转移转化（项）</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300</w:t>
            </w:r>
          </w:p>
        </w:tc>
      </w:tr>
      <w:tr>
        <w:tblPrEx>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11</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标准制定</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参与地方/行业标准制定（个）</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50</w:t>
            </w:r>
          </w:p>
        </w:tc>
      </w:tr>
      <w:tr>
        <w:tblPrEx>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12</w:t>
            </w:r>
          </w:p>
        </w:tc>
        <w:tc>
          <w:tcPr>
            <w:tcW w:w="77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人才/团队培育</w:t>
            </w: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科技创新服务领军人（人）</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50</w:t>
            </w:r>
          </w:p>
        </w:tc>
      </w:tr>
      <w:tr>
        <w:tblPrEx>
          <w:tblCellMar>
            <w:top w:w="0" w:type="dxa"/>
            <w:left w:w="108" w:type="dxa"/>
            <w:bottom w:w="0" w:type="dxa"/>
            <w:right w:w="108" w:type="dxa"/>
          </w:tblCellMar>
        </w:tblPrEx>
        <w:trPr>
          <w:trHeight w:val="270" w:hRule="atLeast"/>
        </w:trPr>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13</w:t>
            </w:r>
          </w:p>
        </w:tc>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1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优秀创新服务团队（个）</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color w:val="000000"/>
                <w:sz w:val="18"/>
                <w:szCs w:val="18"/>
              </w:rPr>
            </w:pP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50</w:t>
            </w:r>
          </w:p>
        </w:tc>
      </w:tr>
      <w:tr>
        <w:tblPrEx>
          <w:tblCellMar>
            <w:top w:w="0" w:type="dxa"/>
            <w:left w:w="108" w:type="dxa"/>
            <w:bottom w:w="0" w:type="dxa"/>
            <w:right w:w="108" w:type="dxa"/>
          </w:tblCellMar>
        </w:tblPrEx>
        <w:trPr>
          <w:trHeight w:val="270" w:hRule="atLeast"/>
        </w:trPr>
        <w:tc>
          <w:tcPr>
            <w:tcW w:w="27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rPr>
              <w:t>合            计</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仿宋" w:hAnsi="仿宋" w:eastAsia="仿宋" w:cs="仿宋"/>
                <w:b/>
                <w:bCs/>
                <w:color w:val="000000"/>
                <w:kern w:val="0"/>
                <w:sz w:val="18"/>
                <w:szCs w:val="18"/>
              </w:rPr>
              <w:t>423</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rPr>
              <w:t>45</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rPr>
              <w:t>32</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18"/>
                <w:szCs w:val="18"/>
              </w:rPr>
            </w:pPr>
            <w:r>
              <w:rPr>
                <w:rFonts w:hint="eastAsia" w:ascii="仿宋" w:hAnsi="仿宋" w:eastAsia="仿宋" w:cs="仿宋"/>
                <w:b/>
                <w:bCs/>
                <w:color w:val="000000"/>
                <w:kern w:val="0"/>
                <w:sz w:val="18"/>
                <w:szCs w:val="18"/>
              </w:rPr>
              <w:t>1650</w:t>
            </w:r>
          </w:p>
        </w:tc>
      </w:tr>
    </w:tbl>
    <w:p>
      <w:pPr>
        <w:spacing w:line="360" w:lineRule="auto"/>
        <w:rPr>
          <w:rFonts w:ascii="仿宋" w:hAnsi="仿宋" w:eastAsia="仿宋" w:cs="仿宋"/>
          <w:sz w:val="28"/>
          <w:szCs w:val="28"/>
        </w:rPr>
      </w:pPr>
    </w:p>
    <w:sectPr>
      <w:pgSz w:w="11906" w:h="16838"/>
      <w:pgMar w:top="1417" w:right="1587"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B81776-F1A6-4453-BB88-8E6B94CF5C2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2" w:fontKey="{C32F4F46-AFE1-4049-A689-ECDC72B40FB5}"/>
  </w:font>
  <w:font w:name="方正仿宋_GBK">
    <w:panose1 w:val="02000000000000000000"/>
    <w:charset w:val="86"/>
    <w:family w:val="script"/>
    <w:pitch w:val="default"/>
    <w:sig w:usb0="A00002BF" w:usb1="38CF7CFA" w:usb2="00082016" w:usb3="00000000" w:csb0="00040001" w:csb1="00000000"/>
    <w:embedRegular r:id="rId3" w:fontKey="{57B9F646-67AA-4255-A761-F95111E4B4FE}"/>
  </w:font>
  <w:font w:name="方正楷体_GBK">
    <w:panose1 w:val="02000000000000000000"/>
    <w:charset w:val="86"/>
    <w:family w:val="script"/>
    <w:pitch w:val="default"/>
    <w:sig w:usb0="800002BF" w:usb1="38CF7CFA" w:usb2="00000016" w:usb3="00000000" w:csb0="00040000" w:csb1="00000000"/>
    <w:embedRegular r:id="rId4" w:fontKey="{140E9122-09D0-439B-AB3A-2BF32AA19730}"/>
  </w:font>
  <w:font w:name="仿宋">
    <w:panose1 w:val="02010609060101010101"/>
    <w:charset w:val="86"/>
    <w:family w:val="modern"/>
    <w:pitch w:val="default"/>
    <w:sig w:usb0="800002BF" w:usb1="38CF7CFA" w:usb2="00000016" w:usb3="00000000" w:csb0="00040001" w:csb1="00000000"/>
    <w:embedRegular r:id="rId5" w:fontKey="{980EB507-32D7-4171-8127-12B5ECF3947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ExZWYxYzVhYzdkY2NhOGE0MTY1NGU0MDRjNDI5ZDcifQ=="/>
  </w:docVars>
  <w:rsids>
    <w:rsidRoot w:val="0D456082"/>
    <w:rsid w:val="004107CC"/>
    <w:rsid w:val="00613D13"/>
    <w:rsid w:val="006F4FEE"/>
    <w:rsid w:val="00A02818"/>
    <w:rsid w:val="00C76038"/>
    <w:rsid w:val="00D51B24"/>
    <w:rsid w:val="06B97B55"/>
    <w:rsid w:val="0B0B3A86"/>
    <w:rsid w:val="0D456082"/>
    <w:rsid w:val="0D9D74EB"/>
    <w:rsid w:val="12067261"/>
    <w:rsid w:val="16390368"/>
    <w:rsid w:val="19EA36C1"/>
    <w:rsid w:val="1AB41EA6"/>
    <w:rsid w:val="1F0C0B17"/>
    <w:rsid w:val="1F677068"/>
    <w:rsid w:val="268623CC"/>
    <w:rsid w:val="2AA71761"/>
    <w:rsid w:val="32A511A6"/>
    <w:rsid w:val="444730E7"/>
    <w:rsid w:val="48C67F56"/>
    <w:rsid w:val="4E3F51BA"/>
    <w:rsid w:val="4F2344E1"/>
    <w:rsid w:val="59F5715C"/>
    <w:rsid w:val="5AB57971"/>
    <w:rsid w:val="5E51122B"/>
    <w:rsid w:val="68002C9C"/>
    <w:rsid w:val="6CA6227E"/>
    <w:rsid w:val="709922B5"/>
    <w:rsid w:val="71064967"/>
    <w:rsid w:val="71D03812"/>
    <w:rsid w:val="724B3B2D"/>
    <w:rsid w:val="76E454C8"/>
    <w:rsid w:val="772050A9"/>
    <w:rsid w:val="79FD032B"/>
    <w:rsid w:val="7F6C4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2"/>
    <w:basedOn w:val="1"/>
    <w:qFormat/>
    <w:uiPriority w:val="0"/>
    <w:pPr>
      <w:spacing w:after="120" w:line="480" w:lineRule="auto"/>
    </w:pPr>
    <w:rPr>
      <w:rFonts w:ascii="Times New Roman" w:hAnsi="Times New Roman" w:eastAsia="宋体" w:cs="Times New Roman"/>
      <w:sz w:val="32"/>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0"/>
    <w:rPr>
      <w:rFonts w:asciiTheme="minorHAnsi" w:hAnsiTheme="minorHAnsi" w:eastAsiaTheme="minorEastAsia" w:cstheme="minorBidi"/>
      <w:kern w:val="2"/>
      <w:sz w:val="18"/>
      <w:szCs w:val="18"/>
    </w:rPr>
  </w:style>
  <w:style w:type="character" w:customStyle="1" w:styleId="10">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7718</Words>
  <Characters>7830</Characters>
  <Lines>57</Lines>
  <Paragraphs>16</Paragraphs>
  <TotalTime>54</TotalTime>
  <ScaleCrop>false</ScaleCrop>
  <LinksUpToDate>false</LinksUpToDate>
  <CharactersWithSpaces>7867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2020-11-16T16:52:00Z</dcterms:created>
  <dc:creator>沈霞</dc:creator>
  <cp:lastModifiedBy>沈霞</cp:lastModifiedBy>
  <cp:lastPrinted>2022-05-06T07:27:00Z</cp:lastPrinted>
  <dcterms:modified xsi:type="dcterms:W3CDTF">2022-05-06T08:16:51Z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KSOSaveFontToCloudKey">
    <vt:lpwstr>460108335_cloud</vt:lpwstr>
  </property>
  <property fmtid="{D5CDD505-2E9C-101B-9397-08002B2CF9AE}" pid="4" name="ICV">
    <vt:lpwstr>EEA060006B0E4756825960B33E03C2FE</vt:lpwstr>
  </property>
</Properties>
</file>